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6F8E">
        <w:rPr>
          <w:rFonts w:ascii="Times New Roman" w:hAnsi="Times New Roman" w:cs="Times New Roman"/>
          <w:b/>
          <w:bCs/>
          <w:sz w:val="30"/>
          <w:szCs w:val="30"/>
        </w:rPr>
        <w:t>Objaśnienia</w:t>
      </w:r>
      <w:r w:rsidRPr="00F56F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6F8E">
        <w:rPr>
          <w:rFonts w:ascii="Times New Roman" w:hAnsi="Times New Roman" w:cs="Times New Roman"/>
          <w:b/>
          <w:bCs/>
          <w:color w:val="000000"/>
          <w:sz w:val="30"/>
          <w:szCs w:val="30"/>
        </w:rPr>
        <w:t>wartości przyjętych w wieloletniej prognozie finansowej</w:t>
      </w: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30"/>
          <w:szCs w:val="30"/>
        </w:rPr>
        <w:t>Gminy ROGÓŹNO</w:t>
      </w: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30"/>
          <w:szCs w:val="30"/>
        </w:rPr>
        <w:t>na lata 2013 - 2023</w:t>
      </w:r>
    </w:p>
    <w:p w:rsidR="00F56F8E" w:rsidRPr="00F56F8E" w:rsidRDefault="00F56F8E" w:rsidP="00F56F8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3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dochodów roku lat 2013-2023 wykazanych w załączniku nr 1 poz. 1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38"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wieloletniej prognozie finansowej przyjęto wzrost dochodów w następujących wysokościach: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1100"/>
        <w:gridCol w:w="6939"/>
      </w:tblGrid>
      <w:tr w:rsidR="00F56F8E" w:rsidRPr="00F56F8E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Dochody</w:t>
            </w:r>
          </w:p>
        </w:tc>
      </w:tr>
      <w:tr w:rsidR="00F56F8E" w:rsidRPr="00F56F8E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numPr>
                <w:ilvl w:val="0"/>
                <w:numId w:val="2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Dochody bieżące, w tym: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- dochody z tytułu udziału we wpływach z podatku dochodowego od osób fizycznych ustalono na podstawie informacji otrzymanej od Ministra Finansów;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- dochody z tytułu udziału we wpływach z podatku dochodowego od osób prawnych ustalono na podstawie wykonania z tytułu tych dochodów z roku ubiegłego,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- podatki i opłaty – podatek rolny, podatek od nieruchomości, podatek od środków transportowych, podatek leśny ustalono na podstawie obowiązujących stawek podatkowych. Pozostałe opłaty i podatki przyjęto na poziomie roku 2012 zwiększając dochody o planowany wskaźnik inflacji 2,7%.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- z subwencji ogólnej – przyjęto na podstawie informacji otrzymanej od Ministra Finansów;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z tytułu dotacji i środków przeznaczonych na cele bieżące – ustalono na podstawie informacji o przyznanych dotacjach 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br/>
              <w:t>i środkach;</w:t>
            </w:r>
          </w:p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pozostałe dochody bieżące nie wymienione powyżej przyjęto w wysokości określonej w 2012 r. powiększonej 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br/>
              <w:t>o planowany wskaźnik inflacji 2,7%.</w:t>
            </w:r>
          </w:p>
          <w:p w:rsidR="00F56F8E" w:rsidRPr="001F2C64" w:rsidRDefault="00F56F8E" w:rsidP="00F56F8E">
            <w:pPr>
              <w:numPr>
                <w:ilvl w:val="0"/>
                <w:numId w:val="2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Dochody majątkowe, w tym</w:t>
            </w:r>
            <w:r w:rsidRPr="001F2C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6F8E" w:rsidRPr="001F2C64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C64">
              <w:rPr>
                <w:rFonts w:ascii="Times New Roman" w:hAnsi="Times New Roman" w:cs="Times New Roman"/>
                <w:sz w:val="24"/>
                <w:szCs w:val="24"/>
              </w:rPr>
              <w:t>- ze sprzedaży majątku – ustalono na podstawie faktycznie dokonanej sprzedaży w roku budżetowym;</w:t>
            </w:r>
          </w:p>
          <w:p w:rsidR="001F2C64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C64">
              <w:rPr>
                <w:rFonts w:ascii="Times New Roman" w:hAnsi="Times New Roman" w:cs="Times New Roman"/>
                <w:sz w:val="24"/>
                <w:szCs w:val="24"/>
              </w:rPr>
              <w:t xml:space="preserve">- z tytułu dotacji oraz środków przeznaczonych na inwestycje – kwotę 281.408,00 zł Gmina Rogóźno otrzyma w związku </w:t>
            </w:r>
            <w:r w:rsidRPr="001F2C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zakończonym w 2012 r. zadaniem pn. „Budowa świetlicy wiejskiej z remizą w miejscowości Rogóźno Zamek”. Wprowadzono na podstawie umowy zawartej </w:t>
            </w:r>
            <w:r w:rsidRPr="001F2C64">
              <w:rPr>
                <w:rFonts w:ascii="Times New Roman" w:hAnsi="Times New Roman" w:cs="Times New Roman"/>
                <w:sz w:val="24"/>
                <w:szCs w:val="24"/>
              </w:rPr>
              <w:br/>
              <w:t>z Województwem Kujawsko-Pomorskim nr PRW.I.6010-53-167/10 00076-6922-UM0200053/10 z dnia 31.05.2011 r. oraz aneksem z dnia 22.03.2012 r.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C64" w:rsidRDefault="001F2C64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kwota 50.000,00 zł dotyczy otrzymania dotacji z WOGR z tytułu modernizacji drogi,</w:t>
            </w:r>
          </w:p>
          <w:p w:rsidR="00F56F8E" w:rsidRPr="00F56F8E" w:rsidRDefault="001F2C64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kwota 12.303,00 zł dotyczy zwrotu z UW w Bydgoszczy części wydatków wykonanych w ramach funduszu sołeckiego w 2012 r. </w:t>
            </w:r>
          </w:p>
        </w:tc>
      </w:tr>
    </w:tbl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1323"/>
        <w:gridCol w:w="6939"/>
      </w:tblGrid>
      <w:tr w:rsidR="00F56F8E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Dochody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 xml:space="preserve">- </w:t>
            </w:r>
            <w:r w:rsidRPr="00F63753">
              <w:t xml:space="preserve">ustalono na podstawie informacji o przyznanych dotacjach, subwencjach. Podatki i opłaty lokalne ustalono na podstawie maksymalnej stawki w podatku leśnym, obniżonej stawki w podatku rolnym do </w:t>
            </w:r>
            <w:r>
              <w:t>57</w:t>
            </w:r>
            <w:r w:rsidRPr="00F63753">
              <w:t xml:space="preserve">,00 zł za 1dt oraz stawek w podatku od nieruchomości, podatku od środków transportowych powiększonych </w:t>
            </w:r>
            <w:r>
              <w:t>o przyjęty wskaźnik inflacji 2,4</w:t>
            </w:r>
            <w:r w:rsidRPr="00F63753">
              <w:t>%. Pozostałe dochody zwiększono o przyjęty wskaźnik inflacji w wysokości 2,</w:t>
            </w:r>
            <w:r>
              <w:t>4</w:t>
            </w:r>
            <w:r w:rsidRPr="00F63753">
              <w:t xml:space="preserve">%. </w:t>
            </w:r>
            <w:r>
              <w:t>W dochodach majątkowych nie przyjęto żadnej kwoty do czasu otrzymania informacji o otrzymaniu środków z Unii Europejskiej.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2014 ze zw</w:t>
            </w:r>
            <w:r w:rsidR="00D310C9">
              <w:t>iększeniem dochodów o około 1,01</w:t>
            </w:r>
            <w:r>
              <w:t>%. Zaplanowano otrzymanie dochodów majątkowych z realizacji dwóch inwestycji realizowanych przy udziale środków z Unii Europejskiej (rozbudowa wodociągu i modernizacja świetlicy w Szembruczku). Gmina Rogóźno posiada podpisane umowy na dofinansowanie. Wysokość środków uzależniona będzie od wartości zadania inwestycyjnego po przetargach.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2015 ze zwiększeniem doc</w:t>
            </w:r>
            <w:r w:rsidR="00D310C9">
              <w:t>hodów o około 1,01</w:t>
            </w:r>
            <w:r>
              <w:t xml:space="preserve">%. Nie planuje się dochodów majątkowych.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2016 ze z</w:t>
            </w:r>
            <w:r w:rsidR="00E91A28">
              <w:t>w</w:t>
            </w:r>
            <w:r w:rsidR="00D310C9">
              <w:t>iększeniem dochodów o około 1,01</w:t>
            </w:r>
            <w:r>
              <w:t>%. Nie planuje się dochodów majątkowych.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2017 ze zwiększeniem dochod</w:t>
            </w:r>
            <w:r w:rsidR="00D310C9">
              <w:t>ów o około 1,00</w:t>
            </w:r>
            <w:r>
              <w:t xml:space="preserve">%. Nie planuje się dochodów majątkowych.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2018 ze zwiększeniem dochodów o około 1,</w:t>
            </w:r>
            <w:r w:rsidR="00D310C9">
              <w:t>02</w:t>
            </w:r>
            <w:r>
              <w:t xml:space="preserve">%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  <w:jc w:val="both"/>
            </w:pPr>
            <w:r>
              <w:t>- ustalono na podstawie planu dochodów roku 2019 ze</w:t>
            </w:r>
            <w:r w:rsidR="00D310C9">
              <w:t xml:space="preserve"> zwiększeniem dochodów o około 1,02</w:t>
            </w:r>
            <w:r>
              <w:t xml:space="preserve">%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</w:pPr>
            <w:r>
              <w:t>- ustalono na podstawie planu dochodów roku 2020 ze zm</w:t>
            </w:r>
            <w:r w:rsidR="00D310C9">
              <w:t>niejszeniem dochodów o około 1,01</w:t>
            </w:r>
            <w:r>
              <w:t xml:space="preserve">%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</w:pPr>
            <w:r>
              <w:t>- ustalono na podstawie planu dochodów roku 2021 ze zw</w:t>
            </w:r>
            <w:r w:rsidR="00D310C9">
              <w:t>iększeniem dochodów o około 1,03</w:t>
            </w:r>
            <w:r>
              <w:t xml:space="preserve">% </w:t>
            </w:r>
          </w:p>
        </w:tc>
      </w:tr>
      <w:tr w:rsidR="001F2C64" w:rsidRPr="00F56F8E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Pr="00F56F8E" w:rsidRDefault="001F2C64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4" w:rsidRDefault="001F2C64" w:rsidP="002647E0">
            <w:pPr>
              <w:pStyle w:val="NormalnyWeb"/>
              <w:spacing w:before="0" w:after="0"/>
            </w:pPr>
            <w:r>
              <w:t>- ustalono na podstawie planu dochodów roku 2022 ze</w:t>
            </w:r>
            <w:r w:rsidR="00D310C9">
              <w:t xml:space="preserve"> zwiększeniem dochodów o około 1,02</w:t>
            </w:r>
            <w:r>
              <w:t xml:space="preserve">% </w:t>
            </w:r>
          </w:p>
        </w:tc>
      </w:tr>
    </w:tbl>
    <w:p w:rsidR="00F56F8E" w:rsidRPr="00F56F8E" w:rsidRDefault="00F56F8E" w:rsidP="00F56F8E">
      <w:pPr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3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wydatków lat 2013-2023 wykazanych w załączniku nr 1 poz. 2: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796"/>
      </w:tblGrid>
      <w:tr w:rsidR="00F56F8E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Wydatki</w:t>
            </w:r>
          </w:p>
        </w:tc>
      </w:tr>
      <w:tr w:rsidR="00F56F8E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numPr>
                <w:ilvl w:val="0"/>
                <w:numId w:val="14"/>
              </w:num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Wydatki bieżące, w tym:</w:t>
            </w:r>
          </w:p>
          <w:p w:rsidR="00F56F8E" w:rsidRPr="00F56F8E" w:rsidRDefault="00F56F8E" w:rsidP="00F56F8E">
            <w:p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z tytułu poręczeń i gwarancji – jednostka nie udzieliła poręczeń 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br/>
              <w:t>i gwarancji;</w:t>
            </w:r>
          </w:p>
          <w:p w:rsidR="00F56F8E" w:rsidRPr="00F56F8E" w:rsidRDefault="00F56F8E" w:rsidP="00F56F8E">
            <w:p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na spłatę przejętych zobowiązań </w:t>
            </w:r>
            <w:proofErr w:type="spellStart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proofErr w:type="spellEnd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zoz</w:t>
            </w:r>
            <w:proofErr w:type="spellEnd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 – jednostka nie przejęła zobowiązań </w:t>
            </w:r>
            <w:proofErr w:type="spellStart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proofErr w:type="spellEnd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zoz</w:t>
            </w:r>
            <w:proofErr w:type="spellEnd"/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6F8E" w:rsidRPr="00F56F8E" w:rsidRDefault="00F56F8E" w:rsidP="00F56F8E">
            <w:p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wydatki na obsługę długu – zaplanowano odsetki od kredytów już 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zaciągniętych oraz planowanych do zaciągnięcia w roku 201</w:t>
            </w:r>
            <w:r w:rsidR="001F2C64">
              <w:rPr>
                <w:rFonts w:ascii="Times New Roman" w:hAnsi="Times New Roman" w:cs="Times New Roman"/>
                <w:sz w:val="24"/>
                <w:szCs w:val="24"/>
              </w:rPr>
              <w:t>3. Dodatkowo zaplanowano kwotę 2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.680,00 zł na opłaty i prowizje związane z zaciągniętym długiem;</w:t>
            </w:r>
          </w:p>
          <w:p w:rsidR="00F56F8E" w:rsidRPr="00F56F8E" w:rsidRDefault="00F56F8E" w:rsidP="00F56F8E">
            <w:p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- pozostałe wydatki bieżące – zaplanowano wzrost wydatków o około 0,63%. </w:t>
            </w:r>
          </w:p>
          <w:p w:rsidR="00F56F8E" w:rsidRPr="00F56F8E" w:rsidRDefault="00F56F8E" w:rsidP="00F56F8E">
            <w:pPr>
              <w:numPr>
                <w:ilvl w:val="0"/>
                <w:numId w:val="14"/>
              </w:num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Wydatki majątkowe </w:t>
            </w: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 xml:space="preserve">– ustalono na podstawie podpisanych umów na wykonanie zadań oraz umów przyznających dofinansowanie. 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3B187E">
            <w:pPr>
              <w:pStyle w:val="NormalnyWeb"/>
              <w:spacing w:before="238" w:after="0"/>
              <w:jc w:val="both"/>
            </w:pPr>
            <w:r>
              <w:t xml:space="preserve">- wzrost wydatków z 2013 r. o 2% wynagrodzenia dla nauczycieli i 3% dla pozostałych pracowników. Uwzględniono fundusz nagród dla nauczycieli </w:t>
            </w:r>
            <w:r>
              <w:br/>
              <w:t>i pracowników oświaty (3%) oraz dla pozostałych pracowników (3%).  Składki ubezpieczenia społecznego i na Fundusz pracy naliczono w zależności od przynależności do grupy zawodowej</w:t>
            </w:r>
            <w:r w:rsidR="003B187E">
              <w:t>.</w:t>
            </w:r>
            <w:r>
              <w:t xml:space="preserve"> 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>- ze względu na rosnący dług ustalono wydatki bieżące w 2015 r. na poziomie niższym a niżeli w 2014 r. W wydatkach majątkowych przyjęto do realizacji jedynie inwestycję, która rozpoczęta była w latach poprzednich. Wynagrodzenia i pochodne na wynagrodzenia planuje się podwyższyć o około 1,0%.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 xml:space="preserve">- wydatki bieżące zwiększono o około 1,0% w stosunku do roku 2015. Do wydatków majątkowych przyjęto do realizacji jedynie inwestycję pn. „Rozbudowa szkoły podstawowej w Rogóźnie”, która rozpoczęła się </w:t>
            </w:r>
            <w:r>
              <w:br/>
              <w:t xml:space="preserve">w 2011 r. Wydatki na wynagrodzenia i pochodne planuje się zwiększyć </w:t>
            </w:r>
            <w:r>
              <w:br/>
              <w:t>o około 1,0%.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>- celem dalszego zmniejszenia zadłużenia Gminy Rogóźno ustalono wydatki b</w:t>
            </w:r>
            <w:r w:rsidR="00D310C9">
              <w:t>ieżące na poziomie niższym o 1,00</w:t>
            </w:r>
            <w:r>
              <w:t xml:space="preserve">% w stosunku do roku 2016. Zabezpieczono jedynie wzrost wydatków na wynagrodzenia i pochodne </w:t>
            </w:r>
            <w:r>
              <w:br/>
              <w:t xml:space="preserve">o około 1%. Wydatki majątkowe obniżono do maksymalnego poziomu.  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 xml:space="preserve">- wydatki bieżące ustalono na podstawie wydatków z roku poprzedniego ze zwiększeniem o około 1,02%. Wydatki na wynagrodzenia i pochodne panuje się zwiększyć o 1,01% . Nadal obniżane są wydatki majątkowe, zabezpieczając inwestycje na minimalnym poziomie nie powodującym wzrostu długu Gminy Rogóźno.   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>- ustalono na podstawie wydatków bieżących z roku poprzedniego</w:t>
            </w:r>
            <w:r w:rsidR="00D310C9">
              <w:t xml:space="preserve"> ze zmniejszeniem o 1,02%</w:t>
            </w:r>
            <w:r>
              <w:t>. Wydatki na wynagrodzenia i pochodne zaplanowano ze wzrostem o 1,0% w stosunku do roku 2018. Wydatki majątkowe przyjmuje się na minimalnym poziomie.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>- wydatki bieżące ustalono na podstawie roku poprze</w:t>
            </w:r>
            <w:r w:rsidR="00D310C9">
              <w:t>dniego ze zwiększeniem o około 1,02</w:t>
            </w:r>
            <w:r>
              <w:t xml:space="preserve">%. Wydatki majątkowe ustalono na minimalnym poziomie. Wydatki na wynagrodzenia i pochodne przewiduje się powiększyć o 1,01%. 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>- wydatki bieżące ustalono na podstawie wydatków z r</w:t>
            </w:r>
            <w:r w:rsidR="003B187E">
              <w:t>oku poprzedniego ze zmniejszeniem</w:t>
            </w:r>
            <w:r>
              <w:t xml:space="preserve"> o około 1,00%. Wydatki majątkowe ustalono na minimalnym poziomie. Wydatki na wynagrodzenia i pochodne zwiększono o około 1,0%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3B187E">
            <w:pPr>
              <w:pStyle w:val="NormalnyWeb"/>
              <w:spacing w:before="238" w:after="0"/>
              <w:jc w:val="both"/>
            </w:pPr>
            <w:r>
              <w:t>- wydatki bieżące ustalono na podstawie wydatków z roku poprze</w:t>
            </w:r>
            <w:r w:rsidR="00D310C9">
              <w:t>dniego ze zwiększeniem o około 1,02</w:t>
            </w:r>
            <w:r>
              <w:t xml:space="preserve">%. </w:t>
            </w:r>
            <w:r w:rsidR="003B187E">
              <w:t>Wydatki majątkowe utrzymano na niezmienionym poziomie</w:t>
            </w:r>
            <w:r>
              <w:t>. Wydatki na wynagrodzenia i pochodne podwyższono o 1,0%.</w:t>
            </w:r>
          </w:p>
        </w:tc>
      </w:tr>
      <w:tr w:rsidR="00F02545" w:rsidRPr="00F56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Pr="00F56F8E" w:rsidRDefault="00F02545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3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45" w:rsidRDefault="00F02545" w:rsidP="002647E0">
            <w:pPr>
              <w:pStyle w:val="NormalnyWeb"/>
              <w:spacing w:before="238" w:after="0"/>
              <w:jc w:val="both"/>
            </w:pPr>
            <w:r>
              <w:t xml:space="preserve">- wydatki bieżące ustalono na podobnym poziomie jak </w:t>
            </w:r>
            <w:r w:rsidR="00D310C9">
              <w:t>w 2022 r. powiększając o około 1</w:t>
            </w:r>
            <w:r w:rsidR="003B187E">
              <w:t>,50</w:t>
            </w:r>
            <w:r>
              <w:t>%. Tak jak w roku ubiegłym zwiększono wydatki majątkowe. Wydatki na wynagrodzenia i pochodne zwiększono o 1,0%.</w:t>
            </w:r>
          </w:p>
        </w:tc>
      </w:tr>
    </w:tbl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Dotyczy wyników budżetu (nadwyżki/deficyty) w latach 2013-2023 wykazanych 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br/>
        <w:t>w załączniku nr 1 poz. 3: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roku 20</w:t>
      </w:r>
      <w:r w:rsidR="000750C9">
        <w:rPr>
          <w:rFonts w:ascii="Times New Roman" w:hAnsi="Times New Roman" w:cs="Times New Roman"/>
          <w:sz w:val="24"/>
          <w:szCs w:val="24"/>
        </w:rPr>
        <w:t xml:space="preserve">13 założono wystąpienie nadwyżki budżetowej w wysokości </w:t>
      </w:r>
      <w:r w:rsidR="000750C9">
        <w:rPr>
          <w:rFonts w:ascii="Times New Roman" w:hAnsi="Times New Roman" w:cs="Times New Roman"/>
          <w:sz w:val="24"/>
          <w:szCs w:val="24"/>
        </w:rPr>
        <w:br/>
        <w:t>514.496</w:t>
      </w:r>
      <w:r w:rsidRPr="00F56F8E">
        <w:rPr>
          <w:rFonts w:ascii="Times New Roman" w:hAnsi="Times New Roman" w:cs="Times New Roman"/>
          <w:sz w:val="24"/>
          <w:szCs w:val="24"/>
        </w:rPr>
        <w:t xml:space="preserve">,00 zł. W kolejnych latach </w:t>
      </w:r>
      <w:r w:rsidR="000750C9">
        <w:rPr>
          <w:rFonts w:ascii="Times New Roman" w:hAnsi="Times New Roman" w:cs="Times New Roman"/>
          <w:sz w:val="24"/>
          <w:szCs w:val="24"/>
        </w:rPr>
        <w:t xml:space="preserve">z uwagi na planowane zadania inwestycyjne zaplanowano deficyt budżetowy do 2016 r. W latach następnych </w:t>
      </w:r>
      <w:r w:rsidRPr="00F56F8E">
        <w:rPr>
          <w:rFonts w:ascii="Times New Roman" w:hAnsi="Times New Roman" w:cs="Times New Roman"/>
          <w:sz w:val="24"/>
          <w:szCs w:val="24"/>
        </w:rPr>
        <w:t xml:space="preserve">ze względu na wysoką kwotę </w:t>
      </w:r>
      <w:r w:rsidR="000750C9">
        <w:rPr>
          <w:rFonts w:ascii="Times New Roman" w:hAnsi="Times New Roman" w:cs="Times New Roman"/>
          <w:sz w:val="24"/>
          <w:szCs w:val="24"/>
        </w:rPr>
        <w:t>zadłużenia gminy wynoszącą 38</w:t>
      </w:r>
      <w:r w:rsidRPr="00F56F8E">
        <w:rPr>
          <w:rFonts w:ascii="Times New Roman" w:hAnsi="Times New Roman" w:cs="Times New Roman"/>
          <w:sz w:val="24"/>
          <w:szCs w:val="24"/>
        </w:rPr>
        <w:t>% podjęto działania zmierzające do zmniejszenia kwoty deficytu lub wystąpienia nadwyżki. W związku z tym, planuje się w poszczególnych latach następujące wyniki budżetu:</w:t>
      </w:r>
    </w:p>
    <w:p w:rsidR="00234531" w:rsidRPr="00F56F8E" w:rsidRDefault="00234531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2014 r.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  <w:t>deficyt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="000750C9">
        <w:rPr>
          <w:rFonts w:ascii="Times New Roman" w:hAnsi="Times New Roman" w:cs="Times New Roman"/>
          <w:sz w:val="24"/>
          <w:szCs w:val="24"/>
        </w:rPr>
        <w:t>2.236.263</w:t>
      </w:r>
      <w:r w:rsidRPr="00F56F8E">
        <w:rPr>
          <w:rFonts w:ascii="Times New Roman" w:hAnsi="Times New Roman" w:cs="Times New Roman"/>
          <w:sz w:val="24"/>
          <w:szCs w:val="24"/>
        </w:rPr>
        <w:t>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r. </w:t>
      </w:r>
      <w:r>
        <w:rPr>
          <w:rFonts w:ascii="Times New Roman" w:hAnsi="Times New Roman" w:cs="Times New Roman"/>
          <w:sz w:val="24"/>
          <w:szCs w:val="24"/>
        </w:rPr>
        <w:tab/>
        <w:t xml:space="preserve">deficyt </w:t>
      </w:r>
      <w:r>
        <w:rPr>
          <w:rFonts w:ascii="Times New Roman" w:hAnsi="Times New Roman" w:cs="Times New Roman"/>
          <w:sz w:val="24"/>
          <w:szCs w:val="24"/>
        </w:rPr>
        <w:tab/>
        <w:t>369.3</w:t>
      </w:r>
      <w:r w:rsidR="00F56F8E" w:rsidRPr="00F56F8E">
        <w:rPr>
          <w:rFonts w:ascii="Times New Roman" w:hAnsi="Times New Roman" w:cs="Times New Roman"/>
          <w:sz w:val="24"/>
          <w:szCs w:val="24"/>
        </w:rPr>
        <w:t>94,00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r. </w:t>
      </w:r>
      <w:r>
        <w:rPr>
          <w:rFonts w:ascii="Times New Roman" w:hAnsi="Times New Roman" w:cs="Times New Roman"/>
          <w:sz w:val="24"/>
          <w:szCs w:val="24"/>
        </w:rPr>
        <w:tab/>
        <w:t>deficyt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672.356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r. </w:t>
      </w:r>
      <w:r>
        <w:rPr>
          <w:rFonts w:ascii="Times New Roman" w:hAnsi="Times New Roman" w:cs="Times New Roman"/>
          <w:sz w:val="24"/>
          <w:szCs w:val="24"/>
        </w:rPr>
        <w:tab/>
        <w:t>nadwyżka</w:t>
      </w:r>
      <w:r>
        <w:rPr>
          <w:rFonts w:ascii="Times New Roman" w:hAnsi="Times New Roman" w:cs="Times New Roman"/>
          <w:sz w:val="24"/>
          <w:szCs w:val="24"/>
        </w:rPr>
        <w:tab/>
        <w:t>286.384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r. </w:t>
      </w:r>
      <w:r>
        <w:rPr>
          <w:rFonts w:ascii="Times New Roman" w:hAnsi="Times New Roman" w:cs="Times New Roman"/>
          <w:sz w:val="24"/>
          <w:szCs w:val="24"/>
        </w:rPr>
        <w:tab/>
        <w:t>nadwyżka</w:t>
      </w:r>
      <w:r>
        <w:rPr>
          <w:rFonts w:ascii="Times New Roman" w:hAnsi="Times New Roman" w:cs="Times New Roman"/>
          <w:sz w:val="24"/>
          <w:szCs w:val="24"/>
        </w:rPr>
        <w:tab/>
        <w:t>519.040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2019 r. </w:t>
      </w:r>
      <w:r w:rsidRPr="00F56F8E">
        <w:rPr>
          <w:rFonts w:ascii="Times New Roman" w:hAnsi="Times New Roman" w:cs="Times New Roman"/>
          <w:sz w:val="24"/>
          <w:szCs w:val="24"/>
        </w:rPr>
        <w:tab/>
        <w:t>nadwyżka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="000750C9">
        <w:rPr>
          <w:rFonts w:ascii="Times New Roman" w:hAnsi="Times New Roman" w:cs="Times New Roman"/>
          <w:sz w:val="24"/>
          <w:szCs w:val="24"/>
        </w:rPr>
        <w:t>7</w:t>
      </w:r>
      <w:r w:rsidRPr="00F56F8E">
        <w:rPr>
          <w:rFonts w:ascii="Times New Roman" w:hAnsi="Times New Roman" w:cs="Times New Roman"/>
          <w:sz w:val="24"/>
          <w:szCs w:val="24"/>
        </w:rPr>
        <w:t>07.000,00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r. </w:t>
      </w:r>
      <w:r>
        <w:rPr>
          <w:rFonts w:ascii="Times New Roman" w:hAnsi="Times New Roman" w:cs="Times New Roman"/>
          <w:sz w:val="24"/>
          <w:szCs w:val="24"/>
        </w:rPr>
        <w:tab/>
        <w:t>nadwyżka</w:t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F56F8E" w:rsidRPr="00F56F8E">
        <w:rPr>
          <w:rFonts w:ascii="Times New Roman" w:hAnsi="Times New Roman" w:cs="Times New Roman"/>
          <w:sz w:val="24"/>
          <w:szCs w:val="24"/>
        </w:rPr>
        <w:t>07.000,00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r. </w:t>
      </w:r>
      <w:r>
        <w:rPr>
          <w:rFonts w:ascii="Times New Roman" w:hAnsi="Times New Roman" w:cs="Times New Roman"/>
          <w:sz w:val="24"/>
          <w:szCs w:val="24"/>
        </w:rPr>
        <w:tab/>
        <w:t>nadwyżka</w:t>
      </w:r>
      <w:r>
        <w:rPr>
          <w:rFonts w:ascii="Times New Roman" w:hAnsi="Times New Roman" w:cs="Times New Roman"/>
          <w:sz w:val="24"/>
          <w:szCs w:val="24"/>
        </w:rPr>
        <w:tab/>
        <w:t>739.421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nadwyżka </w:t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F56F8E" w:rsidRPr="00F56F8E">
        <w:rPr>
          <w:rFonts w:ascii="Times New Roman" w:hAnsi="Times New Roman" w:cs="Times New Roman"/>
          <w:sz w:val="24"/>
          <w:szCs w:val="24"/>
        </w:rPr>
        <w:t>07.000,00 zł</w:t>
      </w:r>
    </w:p>
    <w:p w:rsidR="00F56F8E" w:rsidRPr="00F56F8E" w:rsidRDefault="000750C9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r. </w:t>
      </w:r>
      <w:r>
        <w:rPr>
          <w:rFonts w:ascii="Times New Roman" w:hAnsi="Times New Roman" w:cs="Times New Roman"/>
          <w:sz w:val="24"/>
          <w:szCs w:val="24"/>
        </w:rPr>
        <w:tab/>
        <w:t>nadwyżka</w:t>
      </w:r>
      <w:r>
        <w:rPr>
          <w:rFonts w:ascii="Times New Roman" w:hAnsi="Times New Roman" w:cs="Times New Roman"/>
          <w:sz w:val="24"/>
          <w:szCs w:val="24"/>
        </w:rPr>
        <w:tab/>
        <w:t>663.973,00</w:t>
      </w:r>
      <w:r w:rsidR="00F56F8E" w:rsidRPr="00F56F8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4.  Dotyczy przychodów lat 2013 - 2023 wykazanych w załączniku nr 1 w poz. 4: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prognozowanym okresie przyjęto przychody z następujących tytułów:</w:t>
      </w:r>
    </w:p>
    <w:tbl>
      <w:tblPr>
        <w:tblW w:w="0" w:type="auto"/>
        <w:tblInd w:w="1093" w:type="dxa"/>
        <w:tblLayout w:type="fixed"/>
        <w:tblLook w:val="0000" w:firstRow="0" w:lastRow="0" w:firstColumn="0" w:lastColumn="0" w:noHBand="0" w:noVBand="0"/>
      </w:tblPr>
      <w:tblGrid>
        <w:gridCol w:w="1047"/>
        <w:gridCol w:w="2646"/>
        <w:gridCol w:w="3216"/>
      </w:tblGrid>
      <w:tr w:rsidR="00F56F8E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Przychody ze spłat pożyczek udzielonych przez gminę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Przychody z zaciągniętych pożyczek </w:t>
            </w: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i kredytów na rynku krajowym</w:t>
            </w:r>
          </w:p>
        </w:tc>
      </w:tr>
      <w:tr w:rsidR="00F56F8E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6F8E"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0750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6F8E" w:rsidRPr="00F56F8E">
              <w:rPr>
                <w:rFonts w:ascii="Times New Roman" w:hAnsi="Times New Roman" w:cs="Times New Roman"/>
              </w:rPr>
              <w:t xml:space="preserve">,00 zł </w:t>
            </w:r>
            <w:r w:rsidR="00F56F8E" w:rsidRPr="00F56F8E">
              <w:rPr>
                <w:rFonts w:ascii="Times New Roman" w:hAnsi="Times New Roman" w:cs="Times New Roman"/>
              </w:rPr>
              <w:br/>
            </w:r>
          </w:p>
        </w:tc>
      </w:tr>
      <w:tr w:rsidR="00F56F8E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6F8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2.564.859</w:t>
            </w:r>
            <w:r w:rsidR="00F56F8E" w:rsidRPr="00F56F8E">
              <w:rPr>
                <w:rFonts w:ascii="Times New Roman" w:hAnsi="Times New Roman" w:cs="Times New Roman"/>
              </w:rPr>
              <w:t>,00 zł</w:t>
            </w:r>
            <w:r w:rsidR="00F56F8E" w:rsidRPr="00F56F8E">
              <w:rPr>
                <w:rFonts w:ascii="Times New Roman" w:hAnsi="Times New Roman" w:cs="Times New Roman"/>
              </w:rPr>
              <w:br/>
              <w:t xml:space="preserve">z przeznaczeniem na deficyt </w:t>
            </w:r>
            <w:r w:rsidR="00F56F8E" w:rsidRPr="00F56F8E">
              <w:rPr>
                <w:rFonts w:ascii="Times New Roman" w:hAnsi="Times New Roman" w:cs="Times New Roman"/>
              </w:rPr>
              <w:br/>
              <w:t xml:space="preserve">w wysokości </w:t>
            </w:r>
            <w:r>
              <w:rPr>
                <w:rFonts w:ascii="Times New Roman" w:hAnsi="Times New Roman" w:cs="Times New Roman"/>
              </w:rPr>
              <w:t>2.236.263</w:t>
            </w:r>
            <w:r w:rsidR="00F56F8E" w:rsidRPr="00F56F8E">
              <w:rPr>
                <w:rFonts w:ascii="Times New Roman" w:hAnsi="Times New Roman" w:cs="Times New Roman"/>
              </w:rPr>
              <w:t xml:space="preserve">,00 zł oraz na spłatę raty kredytu zaciągniętego przez gminę </w:t>
            </w:r>
            <w:r w:rsidR="00F56F8E" w:rsidRPr="00F56F8E">
              <w:rPr>
                <w:rFonts w:ascii="Times New Roman" w:hAnsi="Times New Roman" w:cs="Times New Roman"/>
              </w:rPr>
              <w:br/>
              <w:t xml:space="preserve">w wysokości </w:t>
            </w:r>
            <w:r>
              <w:rPr>
                <w:rFonts w:ascii="Times New Roman" w:hAnsi="Times New Roman" w:cs="Times New Roman"/>
              </w:rPr>
              <w:t>328.596</w:t>
            </w:r>
            <w:r w:rsidR="00F56F8E" w:rsidRPr="00F56F8E">
              <w:rPr>
                <w:rFonts w:ascii="Times New Roman" w:hAnsi="Times New Roman" w:cs="Times New Roman"/>
              </w:rPr>
              <w:t>,00 zł</w:t>
            </w:r>
          </w:p>
        </w:tc>
      </w:tr>
      <w:tr w:rsidR="00F56F8E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6F8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707.9</w:t>
            </w:r>
            <w:r w:rsidR="00F56F8E" w:rsidRPr="00F56F8E">
              <w:rPr>
                <w:rFonts w:ascii="Times New Roman" w:hAnsi="Times New Roman" w:cs="Times New Roman"/>
              </w:rPr>
              <w:t>90,00 zł</w:t>
            </w:r>
            <w:r w:rsidR="00F56F8E" w:rsidRPr="00F56F8E">
              <w:rPr>
                <w:rFonts w:ascii="Times New Roman" w:hAnsi="Times New Roman" w:cs="Times New Roman"/>
              </w:rPr>
              <w:br/>
              <w:t xml:space="preserve"> z przeznacze</w:t>
            </w:r>
            <w:r>
              <w:rPr>
                <w:rFonts w:ascii="Times New Roman" w:hAnsi="Times New Roman" w:cs="Times New Roman"/>
              </w:rPr>
              <w:t xml:space="preserve">niem na deficyt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w wysokości 369.3</w:t>
            </w:r>
            <w:r w:rsidR="00F56F8E" w:rsidRPr="00F56F8E">
              <w:rPr>
                <w:rFonts w:ascii="Times New Roman" w:hAnsi="Times New Roman" w:cs="Times New Roman"/>
              </w:rPr>
              <w:t xml:space="preserve">94,00 zł oraz na spłatę raty kredytu zaciągniętego przez gminę </w:t>
            </w:r>
            <w:r w:rsidR="00F56F8E" w:rsidRPr="00F56F8E">
              <w:rPr>
                <w:rFonts w:ascii="Times New Roman" w:hAnsi="Times New Roman" w:cs="Times New Roman"/>
              </w:rPr>
              <w:br/>
              <w:t>w wysokości 338.596,00 zł</w:t>
            </w:r>
          </w:p>
        </w:tc>
      </w:tr>
      <w:tr w:rsidR="00F56F8E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6F8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1.061.669</w:t>
            </w:r>
            <w:r w:rsidR="00F56F8E" w:rsidRPr="00F56F8E">
              <w:rPr>
                <w:rFonts w:ascii="Times New Roman" w:hAnsi="Times New Roman" w:cs="Times New Roman"/>
              </w:rPr>
              <w:t>,00 zł</w:t>
            </w:r>
            <w:r w:rsidR="00F56F8E" w:rsidRPr="00F56F8E">
              <w:rPr>
                <w:rFonts w:ascii="Times New Roman" w:hAnsi="Times New Roman" w:cs="Times New Roman"/>
              </w:rPr>
              <w:br/>
              <w:t xml:space="preserve"> z przeznacz</w:t>
            </w:r>
            <w:r>
              <w:rPr>
                <w:rFonts w:ascii="Times New Roman" w:hAnsi="Times New Roman" w:cs="Times New Roman"/>
              </w:rPr>
              <w:t>eniem na deficyt w wysokości 672.356</w:t>
            </w:r>
            <w:r w:rsidR="00F56F8E" w:rsidRPr="00F56F8E">
              <w:rPr>
                <w:rFonts w:ascii="Times New Roman" w:hAnsi="Times New Roman" w:cs="Times New Roman"/>
              </w:rPr>
              <w:t>,00  zł oraz spłatę raty kredytu zaciągniętego przez gminę w wysokości 389.313,00 zł</w:t>
            </w:r>
          </w:p>
        </w:tc>
      </w:tr>
      <w:tr w:rsidR="000750C9" w:rsidRPr="00F56F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C9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C9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C9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220.616,00 zł</w:t>
            </w:r>
          </w:p>
          <w:p w:rsidR="000750C9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przeznaczeniem na spłatę raty kredytu zaciągniętego przez gminę.</w:t>
            </w:r>
          </w:p>
        </w:tc>
      </w:tr>
    </w:tbl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rozchodów w latach 2013-2023 wykazanych w załączniku nr 1 w poz. 5: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prognozowanym okresie przyjęto następujące rozchody: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344"/>
        <w:gridCol w:w="2303"/>
        <w:gridCol w:w="2303"/>
        <w:gridCol w:w="2303"/>
      </w:tblGrid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Spłaty otrzymanych krajowych pożyczek </w:t>
            </w: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i kredytów</w:t>
            </w:r>
          </w:p>
        </w:tc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03"/>
              <w:gridCol w:w="2303"/>
            </w:tblGrid>
            <w:tr w:rsidR="00F56F8E" w:rsidRPr="00F56F8E">
              <w:tc>
                <w:tcPr>
                  <w:tcW w:w="46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6F8E" w:rsidRPr="00F56F8E" w:rsidRDefault="00F56F8E" w:rsidP="00F56F8E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F56F8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w tym:</w:t>
                  </w:r>
                </w:p>
              </w:tc>
            </w:tr>
            <w:tr w:rsidR="00F56F8E" w:rsidRPr="00F56F8E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6F8E" w:rsidRPr="00F56F8E" w:rsidRDefault="00F56F8E" w:rsidP="00F56F8E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F56F8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Kredyty/pożyczki zaciągnięte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6F8E" w:rsidRPr="00F56F8E" w:rsidRDefault="00F56F8E" w:rsidP="00F56F8E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F56F8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Kredyty/ pożyczki planowane do zaciągnięcia (sfinansowanie deficytu)</w:t>
                  </w:r>
                </w:p>
              </w:tc>
            </w:tr>
          </w:tbl>
          <w:p w:rsidR="00F56F8E" w:rsidRPr="00F56F8E" w:rsidRDefault="00F56F8E" w:rsidP="00F56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529.496,00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.496,00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328.596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328.596,00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338.596,00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328.596,00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389.313,00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309.313,00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0750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97.200,00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409.800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519.040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78.100,00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440.940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0750C9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739.421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739.421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07.000,00</w:t>
            </w:r>
          </w:p>
        </w:tc>
      </w:tr>
      <w:tr w:rsidR="00F56F8E" w:rsidRPr="00F56F8E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663.873,00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8926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663.873,00</w:t>
            </w:r>
          </w:p>
        </w:tc>
      </w:tr>
    </w:tbl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 latach poprzedzających rok budżetowy 2013 zaciągnięto pożyczki i kredyty. Wysokość rat z wyżej wymienionych tytułów będzie wynosiła:   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Kredyt w Banku Spółdzielczym w Bydgoszczy</w:t>
      </w:r>
      <w:r w:rsidRPr="00F56F8E">
        <w:rPr>
          <w:rFonts w:ascii="Times New Roman" w:hAnsi="Times New Roman" w:cs="Times New Roman"/>
          <w:sz w:val="24"/>
          <w:szCs w:val="24"/>
        </w:rPr>
        <w:tab/>
        <w:t>1.393.301,00 zł, w tym: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- 2013 r. - 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251.496,00 zł,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- 2014 r. -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328.596,00 zł,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- 2015 r. -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328.596,00 zł,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- 2016 r. - 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309.313,00 zł,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- 2017 r. - 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  97.200,00 zł,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- 2018 r. -           78.100,00 zł.</w:t>
      </w:r>
    </w:p>
    <w:p w:rsidR="00F56F8E" w:rsidRPr="00F56F8E" w:rsidRDefault="00F56F8E" w:rsidP="00F56F8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Bank Gospodarstwa Krajowego w Toruniu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  188.000,00  zł, w tym:</w:t>
      </w: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- 2013 r. - </w:t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188.000,00 zł</w:t>
      </w: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Dotyczy długu publicznego na koniec lat 2013-2023 wykazanych w załączniku 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br/>
        <w:t>nr 1 w poz. 6: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 związku z realizacją wielu inwestycji Gmina Rogóźno zaciągnęła kredyty </w:t>
      </w:r>
      <w:r w:rsidRPr="00F56F8E">
        <w:rPr>
          <w:rFonts w:ascii="Times New Roman" w:hAnsi="Times New Roman" w:cs="Times New Roman"/>
          <w:sz w:val="24"/>
          <w:szCs w:val="24"/>
        </w:rPr>
        <w:br/>
        <w:t>i pożyczki na sfinansowanie zadań. Na koniec 2012 r. faktyczne zadłużenie Gminy wynosiło 1.581.309,39 zł, w tym: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kredyt długoterminowy  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  <w:t>1.393.301,00 zł (2010 r., 2012 r.),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pożyczka na wyprzedzające finansowanie       188.000,00 zł (2012 r.),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zobowiązanie wymagalne</w:t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</w:r>
      <w:r w:rsidRPr="00F56F8E">
        <w:rPr>
          <w:rFonts w:ascii="Times New Roman" w:hAnsi="Times New Roman" w:cs="Times New Roman"/>
          <w:sz w:val="24"/>
          <w:szCs w:val="24"/>
        </w:rPr>
        <w:tab/>
        <w:t xml:space="preserve">             8,39 zł (2012 r.)</w:t>
      </w:r>
    </w:p>
    <w:p w:rsidR="008926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Biorąc pod uwagę faktyczne zadłużenie na koniec 2012 roku, planowana kwota długu na kon</w:t>
      </w:r>
      <w:r w:rsidR="0089268E">
        <w:rPr>
          <w:rFonts w:ascii="Times New Roman" w:hAnsi="Times New Roman" w:cs="Times New Roman"/>
          <w:sz w:val="24"/>
          <w:szCs w:val="24"/>
        </w:rPr>
        <w:t>iec 2013 roku może wynosić 1.051.805,00</w:t>
      </w:r>
      <w:r w:rsidRPr="00F56F8E">
        <w:rPr>
          <w:rFonts w:ascii="Times New Roman" w:hAnsi="Times New Roman" w:cs="Times New Roman"/>
          <w:sz w:val="24"/>
          <w:szCs w:val="24"/>
        </w:rPr>
        <w:t xml:space="preserve"> zł. Z</w:t>
      </w:r>
      <w:r w:rsidR="0089268E">
        <w:rPr>
          <w:rFonts w:ascii="Times New Roman" w:hAnsi="Times New Roman" w:cs="Times New Roman"/>
          <w:sz w:val="24"/>
          <w:szCs w:val="24"/>
        </w:rPr>
        <w:t xml:space="preserve"> kwoty tej przypadałoby na dług z lat ubiegłych 1.05</w:t>
      </w:r>
      <w:r w:rsidRPr="00F56F8E">
        <w:rPr>
          <w:rFonts w:ascii="Times New Roman" w:hAnsi="Times New Roman" w:cs="Times New Roman"/>
          <w:sz w:val="24"/>
          <w:szCs w:val="24"/>
        </w:rPr>
        <w:t>1.805,00 zł</w:t>
      </w:r>
      <w:r w:rsidR="0089268E">
        <w:rPr>
          <w:rFonts w:ascii="Times New Roman" w:hAnsi="Times New Roman" w:cs="Times New Roman"/>
          <w:sz w:val="24"/>
          <w:szCs w:val="24"/>
        </w:rPr>
        <w:t>.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Kwota długu w wieloletniej prognozie finansowej do końca 2016 r. kształtu</w:t>
      </w:r>
      <w:r w:rsidR="0089268E">
        <w:rPr>
          <w:rFonts w:ascii="Times New Roman" w:hAnsi="Times New Roman" w:cs="Times New Roman"/>
          <w:sz w:val="24"/>
          <w:szCs w:val="24"/>
        </w:rPr>
        <w:t>je się na wysokim poziomie ok. 38</w:t>
      </w:r>
      <w:r w:rsidRPr="00F56F8E">
        <w:rPr>
          <w:rFonts w:ascii="Times New Roman" w:hAnsi="Times New Roman" w:cs="Times New Roman"/>
          <w:sz w:val="24"/>
          <w:szCs w:val="24"/>
        </w:rPr>
        <w:t xml:space="preserve">% planowanych dochodów. Po tym okresie kwota długu na koniec roku ulega corocznemu zmniejszeniu. W kwocie długu ujęte są zobowiązania już zaciągnięte oraz kredyty i pożyczki planowane do zaciągnięcia. 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Kwota zobowiązań wynikających z przejęcia przez jednostkę samorządu terytorialnego zobowiązań po likwidowanych i przekształconych jednostkach zaliczanych do sektora finansów publicznych wykazanej w załączniku nr 1 w poz. 7: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latach 2013-2023 zobowiązania nie występują.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Dotyczy przeznaczenia nadwyżki budżetu wykazanej w załączniku nr 1 w latach 2017-2023 w poz. 3: 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Nadwyżkę z lat 2017 – 2023 przeznacza się na spłatę zaciągniętych zobowiązań </w:t>
      </w:r>
      <w:r w:rsidRPr="00F56F8E">
        <w:rPr>
          <w:rFonts w:ascii="Times New Roman" w:hAnsi="Times New Roman" w:cs="Times New Roman"/>
          <w:sz w:val="24"/>
          <w:szCs w:val="24"/>
        </w:rPr>
        <w:br/>
        <w:t>z tytułu kredytów i pożyczek, w tym: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286.384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519.040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r. </w:t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F56F8E" w:rsidRPr="00F56F8E">
        <w:rPr>
          <w:rFonts w:ascii="Times New Roman" w:hAnsi="Times New Roman" w:cs="Times New Roman"/>
          <w:sz w:val="24"/>
          <w:szCs w:val="24"/>
        </w:rPr>
        <w:t>07.000,00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r. </w:t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F56F8E" w:rsidRPr="00F56F8E">
        <w:rPr>
          <w:rFonts w:ascii="Times New Roman" w:hAnsi="Times New Roman" w:cs="Times New Roman"/>
          <w:sz w:val="24"/>
          <w:szCs w:val="24"/>
        </w:rPr>
        <w:t>07.000,00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739.421</w:t>
      </w:r>
      <w:r w:rsidR="00F56F8E" w:rsidRPr="00F56F8E">
        <w:rPr>
          <w:rFonts w:ascii="Times New Roman" w:hAnsi="Times New Roman" w:cs="Times New Roman"/>
          <w:sz w:val="24"/>
          <w:szCs w:val="24"/>
        </w:rPr>
        <w:t>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r. </w:t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F56F8E" w:rsidRPr="00F56F8E">
        <w:rPr>
          <w:rFonts w:ascii="Times New Roman" w:hAnsi="Times New Roman" w:cs="Times New Roman"/>
          <w:sz w:val="24"/>
          <w:szCs w:val="24"/>
        </w:rPr>
        <w:t>07.000,00 zł,</w:t>
      </w:r>
    </w:p>
    <w:p w:rsidR="00F56F8E" w:rsidRPr="00F56F8E" w:rsidRDefault="0089268E" w:rsidP="00F56F8E">
      <w:pPr>
        <w:numPr>
          <w:ilvl w:val="0"/>
          <w:numId w:val="26"/>
        </w:numPr>
        <w:tabs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r. </w:t>
      </w:r>
      <w:r>
        <w:rPr>
          <w:rFonts w:ascii="Times New Roman" w:hAnsi="Times New Roman" w:cs="Times New Roman"/>
          <w:sz w:val="24"/>
          <w:szCs w:val="24"/>
        </w:rPr>
        <w:tab/>
        <w:t>663.973,00</w:t>
      </w:r>
      <w:r w:rsidR="00F56F8E" w:rsidRPr="00F56F8E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informacji uzupełniającej o wybranych rodzajach wydatków budżetowych  wykazanej w załączniku nr 1 poz. 11:</w:t>
      </w: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poz. 11 wyodrębniono wydatki: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lastRenderedPageBreak/>
        <w:t xml:space="preserve">na wynagrodzenia i składki od nich naliczane (ujęto łącznie z wydatkami na wynagrodzenia i pochodne zarządu j.s.t.); 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związane  z funkcjonowaniem organów gminy ujęto wydatki kwalifikowane </w:t>
      </w:r>
      <w:r w:rsidRPr="00F56F8E">
        <w:rPr>
          <w:rFonts w:ascii="Times New Roman" w:hAnsi="Times New Roman" w:cs="Times New Roman"/>
          <w:sz w:val="24"/>
          <w:szCs w:val="24"/>
        </w:rPr>
        <w:br/>
        <w:t>w rozdziałach 75022 (wydatki Rady Gminy) i 75023 (wydatki organu wykonawczego – Wójta Gminy, w tym urzędu przy pomocy, którego Wójt realizuje zadania).;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majątkowe objęte limitem art. 226 ust. 3 ustawy o finansach publicznych – wydatki wyszczególnione są w załączniku nr 2 określającym przedsięwzięcia na lata 2013 – 2017.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bieżące objęte limitem art. 226 ust. 3 ustawy o finansach publicznych – wydatki wyszczególnione są w załączniku nr 2 określającym przedsięwzięcia na lata 2013-2017. 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wydatki inwestycyjne kontynuowane – ujęto wydatki majątkowe powstałe przed danym rokiem budżetowym.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wydatki inwestycyjne nowe – ujęto wydatki majątkowe powstałe i planowane w danym roku budżetowym. 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wydatki majątkowe w formie dotacji – ujęto dotacje przekazywane przez Gminę Rogóźno podmiotom niezaliczanym do sektora finansów publicznych na budowę przydomowych oczyszczalni ścieków. </w:t>
      </w:r>
    </w:p>
    <w:p w:rsidR="00F56F8E" w:rsidRPr="00F56F8E" w:rsidRDefault="00F56F8E" w:rsidP="00F56F8E">
      <w:pPr>
        <w:tabs>
          <w:tab w:val="left" w:pos="15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informacji dotyczącej finansowania programów, projektów lub zadań realizowanych z udziałem środków, o których mowa w art. 5 ust. 1 pkt 2 i 3 ustawy wykazanej w załączniku nr 1 poz. 12:</w:t>
      </w: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8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2013 roku ujęto dochody majątkowe na programy i projekty z udziałem środków, o których mowa w art. 5 ust. 1 pkt 2 i 3 ustawy, w tym: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8" w:hanging="218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Środki określone w art. 5 ust. 1 pkt 2 ustawy – 281.408,00 zł (środki zabezpieczone są  dla Gminy Rogóźno na podstawie podpisanej umowy na dofinansowanie). Środki dotyczą II etapu budowy świetlicy w Rogóźnie Zamku. </w:t>
      </w:r>
    </w:p>
    <w:p w:rsidR="00F56F8E" w:rsidRPr="00F56F8E" w:rsidRDefault="0086363A" w:rsidP="00F56F8E">
      <w:pPr>
        <w:numPr>
          <w:ilvl w:val="0"/>
          <w:numId w:val="28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2015</w:t>
      </w:r>
      <w:r w:rsidR="00F56F8E" w:rsidRPr="00F56F8E">
        <w:rPr>
          <w:rFonts w:ascii="Times New Roman" w:hAnsi="Times New Roman" w:cs="Times New Roman"/>
          <w:sz w:val="24"/>
          <w:szCs w:val="24"/>
        </w:rPr>
        <w:t xml:space="preserve"> roku ujęto dochody majątkowe na programy i projekty z udziałem środków, o których mowa w art. 5 ust. 1 pkt 2 i 3 ustawy, w tym:</w:t>
      </w:r>
    </w:p>
    <w:p w:rsidR="00F56F8E" w:rsidRPr="00F56F8E" w:rsidRDefault="0086363A" w:rsidP="00F56F8E">
      <w:pPr>
        <w:numPr>
          <w:ilvl w:val="0"/>
          <w:numId w:val="26"/>
        </w:numPr>
        <w:tabs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18" w:hanging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budynku świetlicy wiejskiej z remizą w Szembruku 233.200,00 zł, zgodnie z umową, oraz rozbudowa sieci wodociągowej w Rogóźnie i przebudowa sieci wodociągowej wraz z przyłączami w Białochowie 107.600,00 zł. W przypadku wcześniejszego otrzymania środków zostaną one ujęte w 2014 r.</w:t>
      </w:r>
    </w:p>
    <w:p w:rsidR="00F56F8E" w:rsidRPr="00F56F8E" w:rsidRDefault="00F56F8E" w:rsidP="00F56F8E">
      <w:pPr>
        <w:numPr>
          <w:ilvl w:val="0"/>
          <w:numId w:val="28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2013 roku ujęto wydatki bieżące na programy, projekty lub zadania finansowane udziałem środków, o których mowa w art. 5 ust. 1 pkt 2 i 3 ustawy, w tym: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7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71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Wydatki bieżące na realizację programu, projektu lub zadania wynikające wyłącznie z zawartych umów z podmiotem dysponującym środkami, o których mowa w art. 5 ust. 1 pkt 2 ustawy – 1.083,00 zł (wydatki zabezpieczone jako wkład własny w realizacji projektu pn. „Realizacja systemu innowacyjnej edukacji w województwie kujawsko-pomorskim poprzez zbudowanie systemu dystrybucji treści edukacyjnych”). Z</w:t>
      </w:r>
      <w:r w:rsidR="00134300">
        <w:rPr>
          <w:rFonts w:ascii="Times New Roman" w:hAnsi="Times New Roman" w:cs="Times New Roman"/>
          <w:sz w:val="24"/>
          <w:szCs w:val="24"/>
        </w:rPr>
        <w:t>a</w:t>
      </w:r>
      <w:r w:rsidRPr="00F56F8E">
        <w:rPr>
          <w:rFonts w:ascii="Times New Roman" w:hAnsi="Times New Roman" w:cs="Times New Roman"/>
          <w:sz w:val="24"/>
          <w:szCs w:val="24"/>
        </w:rPr>
        <w:t xml:space="preserve">danie </w:t>
      </w:r>
      <w:r w:rsidRPr="00F56F8E">
        <w:rPr>
          <w:rFonts w:ascii="Times New Roman" w:hAnsi="Times New Roman" w:cs="Times New Roman"/>
          <w:sz w:val="24"/>
          <w:szCs w:val="24"/>
        </w:rPr>
        <w:lastRenderedPageBreak/>
        <w:t xml:space="preserve">realizowane będzie w latach 2013-2014. Wkład własny dotyczy 25% kosztów realizacji zadania. </w:t>
      </w:r>
    </w:p>
    <w:p w:rsidR="00F56F8E" w:rsidRPr="00F56F8E" w:rsidRDefault="00F56F8E" w:rsidP="00F56F8E">
      <w:pPr>
        <w:numPr>
          <w:ilvl w:val="0"/>
          <w:numId w:val="28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Wydatki majątkowe na programy, projekty lub zadania finansowane z udziałem środków, o których mowa w art.5 ust. 1 pkt 2 i 3 ustawy, w tym: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7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71" w:hanging="36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Wydatki majątkowe na realizację programu, projektu lub zadania wynikające wyłącznie z zawartych umów z podmiotem dysponującym środkami, o których mowa w art. 5 ust. 1 pkt 2 ustawy - 24.000,00 zł (wydatki na realizację projektu pn. „Infostrada Kujaw i Pomorza” – rok 2013), 33.113,00 zł (wydatki na realizację projektu pn. „Realizacja systemu innowacyjnej edukacji w województwie kujawsko-pomorskim poprzez zbudowanie systemu dystrybucji treści edukacyjnych” – rok 2014).</w:t>
      </w:r>
    </w:p>
    <w:p w:rsidR="00F56F8E" w:rsidRPr="00F56F8E" w:rsidRDefault="00F56F8E" w:rsidP="00F56F8E">
      <w:pPr>
        <w:numPr>
          <w:ilvl w:val="0"/>
          <w:numId w:val="26"/>
        </w:numPr>
        <w:tabs>
          <w:tab w:val="left" w:pos="157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571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Wydatki majątkowe na realizację programu, projektu lub zadania wynikające wyłącznie z zawartych umów z podmiotem dysponującym środkami, o których mowa w </w:t>
      </w:r>
      <w:r w:rsidR="005707F1">
        <w:rPr>
          <w:rFonts w:ascii="Times New Roman" w:hAnsi="Times New Roman" w:cs="Times New Roman"/>
          <w:sz w:val="24"/>
          <w:szCs w:val="24"/>
        </w:rPr>
        <w:t>art. 5 ust. 1 pkt 2 ustawy – 8.7</w:t>
      </w:r>
      <w:r w:rsidRPr="00F56F8E">
        <w:rPr>
          <w:rFonts w:ascii="Times New Roman" w:hAnsi="Times New Roman" w:cs="Times New Roman"/>
          <w:sz w:val="24"/>
          <w:szCs w:val="24"/>
        </w:rPr>
        <w:t>00,00 zł (wydatki na realizację projektu pn. „Rozbudowa sieci wodociągowej w Rogóźnie i przebudowa sieci wodociągowej wraz z przyłączami w Białochowie” – rok 2013).</w:t>
      </w:r>
    </w:p>
    <w:p w:rsidR="00F56F8E" w:rsidRDefault="008825EB" w:rsidP="008825EB">
      <w:pPr>
        <w:pStyle w:val="Akapitzlist"/>
        <w:numPr>
          <w:ilvl w:val="0"/>
          <w:numId w:val="28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2014 ujęto wydatki majątkowe na programy, projekty lub zadania finansowe z udziałem środków Unii Europejskiej w łącznej kwocie 899.113,00 zł. Wydatki dotyczą czterech inwestycji pn.:</w:t>
      </w:r>
    </w:p>
    <w:p w:rsidR="008825EB" w:rsidRDefault="008825EB" w:rsidP="008825EB">
      <w:pPr>
        <w:pStyle w:val="Akapitzlist"/>
        <w:numPr>
          <w:ilvl w:val="0"/>
          <w:numId w:val="32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sieci wodociągowej w Rogóźnie i przebudowa sieci wodociągowej wraz z przyłączami w Białochowie,</w:t>
      </w:r>
    </w:p>
    <w:p w:rsidR="008825EB" w:rsidRDefault="00F52D07" w:rsidP="008825EB">
      <w:pPr>
        <w:pStyle w:val="Akapitzlist"/>
        <w:numPr>
          <w:ilvl w:val="0"/>
          <w:numId w:val="32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sprzętu, oprogramowania i wdrożenie – Infostrada Kujaw i Pomorza,</w:t>
      </w:r>
    </w:p>
    <w:p w:rsidR="00F52D07" w:rsidRDefault="00F52D07" w:rsidP="008825EB">
      <w:pPr>
        <w:pStyle w:val="Akapitzlist"/>
        <w:numPr>
          <w:ilvl w:val="0"/>
          <w:numId w:val="32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tablic interaktywnych dla oddziałów szkolnych,</w:t>
      </w:r>
    </w:p>
    <w:p w:rsidR="00F52D07" w:rsidRPr="008825EB" w:rsidRDefault="00F52D07" w:rsidP="008825EB">
      <w:pPr>
        <w:pStyle w:val="Akapitzlist"/>
        <w:numPr>
          <w:ilvl w:val="0"/>
          <w:numId w:val="32"/>
        </w:num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budynku świetlicy wiejskiej z remizą w Szembruczku.</w:t>
      </w:r>
    </w:p>
    <w:p w:rsidR="008825EB" w:rsidRDefault="008825EB" w:rsidP="008825EB">
      <w:p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5EB" w:rsidRPr="008825EB" w:rsidRDefault="008825EB" w:rsidP="008825EB">
      <w:pPr>
        <w:tabs>
          <w:tab w:val="left" w:pos="121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693374">
      <w:pPr>
        <w:numPr>
          <w:ilvl w:val="0"/>
          <w:numId w:val="2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Dotyczy sposobu sfinansowania deficytu budżetu w latach 2013-2016: 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Deficyt będzie finansowany w następujący sposób: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1276"/>
        <w:gridCol w:w="3306"/>
      </w:tblGrid>
      <w:tr w:rsidR="00F56F8E" w:rsidRPr="00F56F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6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 budżetowy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306"/>
            </w:tblGrid>
            <w:tr w:rsidR="00F56F8E" w:rsidRPr="00F56F8E">
              <w:tc>
                <w:tcPr>
                  <w:tcW w:w="3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F8E" w:rsidRPr="00F56F8E" w:rsidRDefault="00F56F8E" w:rsidP="00F56F8E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F56F8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Finansowanie deficytu</w:t>
                  </w:r>
                </w:p>
              </w:tc>
            </w:tr>
            <w:tr w:rsidR="00F56F8E" w:rsidRPr="00F56F8E">
              <w:tc>
                <w:tcPr>
                  <w:tcW w:w="3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F8E" w:rsidRPr="00F56F8E" w:rsidRDefault="00F56F8E" w:rsidP="00F56F8E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F56F8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Zaciągnięte kredyty i pożyczki</w:t>
                  </w:r>
                </w:p>
              </w:tc>
            </w:tr>
          </w:tbl>
          <w:p w:rsidR="00F56F8E" w:rsidRPr="00F56F8E" w:rsidRDefault="00F56F8E" w:rsidP="00F56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56F8E" w:rsidRPr="00F56F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2D07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2.236.263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6F8E" w:rsidRPr="00F56F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2D07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369.3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F56F8E" w:rsidRPr="00F56F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6F8E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F8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8E" w:rsidRPr="00F56F8E" w:rsidRDefault="00F52D07" w:rsidP="00F56F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672.356</w:t>
            </w:r>
            <w:r w:rsidR="00F56F8E" w:rsidRPr="00F56F8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kwot dotyczących przejęcia i spłaty zobowiązań po samodzielnych zakładach opieki zdrowotnej oraz pokrycia ujemnego wyniku, wykazanych w załączniku nr 1 poz. 13: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 xml:space="preserve">Objaśnienia: 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 związku z tym, że nie planuje się przejęcia jakichkolwiek zobowiązań, w latach 2013 – 2023 nie ustalono kwot związanych ze spłatą zobowiązań przejętych od </w:t>
      </w:r>
      <w:proofErr w:type="spellStart"/>
      <w:r w:rsidRPr="00F56F8E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F5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F8E">
        <w:rPr>
          <w:rFonts w:ascii="Times New Roman" w:hAnsi="Times New Roman" w:cs="Times New Roman"/>
          <w:sz w:val="24"/>
          <w:szCs w:val="24"/>
        </w:rPr>
        <w:t>zoz</w:t>
      </w:r>
      <w:proofErr w:type="spellEnd"/>
      <w:r w:rsidRPr="00F56F8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przedsięwzi</w:t>
      </w:r>
      <w:r w:rsidR="00234531">
        <w:rPr>
          <w:rFonts w:ascii="Times New Roman" w:hAnsi="Times New Roman" w:cs="Times New Roman"/>
          <w:b/>
          <w:bCs/>
          <w:sz w:val="24"/>
          <w:szCs w:val="24"/>
        </w:rPr>
        <w:t>ęć wykazanych w latach 2013-2016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 w załączniku nr 2 – Wydatki na programy, projekty lub zadania związane z programami realizowanymi z udziałem środków, o których mowa w art. 5 ust. 1 pkt 2 i 3 ustawy z dnia 27 sierpnia 2009 r. o finansach publicznych (Dz. U. Nr 157, poz. 1240, z </w:t>
      </w:r>
      <w:proofErr w:type="spellStart"/>
      <w:r w:rsidRPr="00F56F8E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F56F8E">
        <w:rPr>
          <w:rFonts w:ascii="Times New Roman" w:hAnsi="Times New Roman" w:cs="Times New Roman"/>
          <w:b/>
          <w:bCs/>
          <w:sz w:val="24"/>
          <w:szCs w:val="24"/>
        </w:rPr>
        <w:t>. zm.):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przedsięwzięciach wykazano zadanie współfinansowane ze środków Unii Europejskiej, które  będzie realizowane w okresie od 2012 do 2014 r., w tym: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zadanie inwestycyjne „Infostrada Kujaw i Pomorza – usługi w zakresie </w:t>
      </w:r>
      <w:r w:rsidRPr="00F56F8E">
        <w:rPr>
          <w:rFonts w:ascii="Times New Roman" w:hAnsi="Times New Roman" w:cs="Times New Roman"/>
          <w:sz w:val="24"/>
          <w:szCs w:val="24"/>
        </w:rPr>
        <w:br/>
        <w:t>e-Administracji i informacji przestrzennej”. Zadanie będzi</w:t>
      </w:r>
      <w:r w:rsidR="00134300">
        <w:rPr>
          <w:rFonts w:ascii="Times New Roman" w:hAnsi="Times New Roman" w:cs="Times New Roman"/>
          <w:sz w:val="24"/>
          <w:szCs w:val="24"/>
        </w:rPr>
        <w:t>e realizowane w latach 2012-2014</w:t>
      </w:r>
      <w:r w:rsidRPr="00F56F8E">
        <w:rPr>
          <w:rFonts w:ascii="Times New Roman" w:hAnsi="Times New Roman" w:cs="Times New Roman"/>
          <w:sz w:val="24"/>
          <w:szCs w:val="24"/>
        </w:rPr>
        <w:t xml:space="preserve"> w dwóch etapach. W związku z tym, w 2012 r. przyjęto wydatki majątkowe objęte zadaniami wieloletnimi w wysokości 3.660,00 zł (zakup serwera)</w:t>
      </w:r>
      <w:r w:rsidR="004B1547">
        <w:rPr>
          <w:rFonts w:ascii="Times New Roman" w:hAnsi="Times New Roman" w:cs="Times New Roman"/>
          <w:sz w:val="24"/>
          <w:szCs w:val="24"/>
        </w:rPr>
        <w:t>,</w:t>
      </w:r>
      <w:r w:rsidRPr="00F56F8E">
        <w:rPr>
          <w:rFonts w:ascii="Times New Roman" w:hAnsi="Times New Roman" w:cs="Times New Roman"/>
          <w:sz w:val="24"/>
          <w:szCs w:val="24"/>
        </w:rPr>
        <w:t xml:space="preserve"> w 2013 przyjęto wydatki majątkowe w wysokości 24.000,00 zł (zakup dodatkowego sprzętu oraz </w:t>
      </w:r>
      <w:r w:rsidR="00134300">
        <w:rPr>
          <w:rFonts w:ascii="Times New Roman" w:hAnsi="Times New Roman" w:cs="Times New Roman"/>
          <w:sz w:val="24"/>
          <w:szCs w:val="24"/>
        </w:rPr>
        <w:t>wdrożenie)</w:t>
      </w:r>
      <w:r w:rsidR="004B1547">
        <w:rPr>
          <w:rFonts w:ascii="Times New Roman" w:hAnsi="Times New Roman" w:cs="Times New Roman"/>
          <w:sz w:val="24"/>
          <w:szCs w:val="24"/>
        </w:rPr>
        <w:t xml:space="preserve"> oraz 12.000,00 zł w 2014 r.(szkolenia).</w:t>
      </w:r>
    </w:p>
    <w:p w:rsid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zadanie inwestycyjne „Realizacja systemu innowacyjnej edukacji w województwie kujawsko-pomorskim poprzez zbudowanie systemu dystrybucji treści edukacyjnych”. Zadanie realizowane będzie w latach 2013 – 2014, łączne nakłady finansowe wynosić będą 34.196,00 zł. Dodatkowo w ramach realizacji w/w zadania zaplanowano wydatki bieżące w wysokości 1.083,00 zł, które stanowi 25% udziału własnego. Wydatki własne poniesione będą w 2013 r. </w:t>
      </w:r>
    </w:p>
    <w:p w:rsidR="00134300" w:rsidRPr="00F56F8E" w:rsidRDefault="00134300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zadanie inwestycyjne „Rozbudowa sieci wodociągowej w Rogóźnie i przebudowa sieci wodociągowej wraz z przyłączami w Białochowie”. Zadanie będzie realizowane w latach 2013-2014 łączne nakłady wynosić będą 298.700,00 zł z czego 8.700,00 zł w 2013 r.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29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przedsięwzięć wykazanych w latach 2013-201</w:t>
      </w:r>
      <w:r w:rsidR="0023453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 w załączniku nr 2 – Wydatki na programy, projekty lub zadania związane z umowami partnerstwa publiczno-prywatnego, z tego: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>W przedsięwzięciach nie wykazano żadnych kwot.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numPr>
          <w:ilvl w:val="0"/>
          <w:numId w:val="3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 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t>Dotyczy przedsięwzi</w:t>
      </w:r>
      <w:r w:rsidR="00234531">
        <w:rPr>
          <w:rFonts w:ascii="Times New Roman" w:hAnsi="Times New Roman" w:cs="Times New Roman"/>
          <w:b/>
          <w:bCs/>
          <w:sz w:val="24"/>
          <w:szCs w:val="24"/>
        </w:rPr>
        <w:t>ęć wykazanych w latach 2013-2016</w:t>
      </w:r>
      <w:r w:rsidRPr="00F56F8E">
        <w:rPr>
          <w:rFonts w:ascii="Times New Roman" w:hAnsi="Times New Roman" w:cs="Times New Roman"/>
          <w:b/>
          <w:bCs/>
          <w:sz w:val="24"/>
          <w:szCs w:val="24"/>
        </w:rPr>
        <w:t xml:space="preserve"> w załączniku nr 2 – Wydatki na programy, projekty lub zadania pozostałe (inne niż wymienione powyżej), z tego:</w:t>
      </w:r>
    </w:p>
    <w:p w:rsidR="00F56F8E" w:rsidRPr="00F56F8E" w:rsidRDefault="00F56F8E" w:rsidP="00F56F8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F8E">
        <w:rPr>
          <w:rFonts w:ascii="Times New Roman" w:hAnsi="Times New Roman" w:cs="Times New Roman"/>
          <w:sz w:val="24"/>
          <w:szCs w:val="24"/>
          <w:u w:val="single"/>
        </w:rPr>
        <w:t>Objaśnienia: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W przedsięwzięciach wykazano zadanie inwestycyjne, które realizowane będzie </w:t>
      </w:r>
      <w:r w:rsidRPr="00F56F8E">
        <w:rPr>
          <w:rFonts w:ascii="Times New Roman" w:hAnsi="Times New Roman" w:cs="Times New Roman"/>
          <w:sz w:val="24"/>
          <w:szCs w:val="24"/>
        </w:rPr>
        <w:br/>
        <w:t>w okresie od 2011 do 2016 r., w tym:</w:t>
      </w:r>
    </w:p>
    <w:p w:rsidR="00F56F8E" w:rsidRPr="00F56F8E" w:rsidRDefault="00F56F8E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6F8E">
        <w:rPr>
          <w:rFonts w:ascii="Times New Roman" w:hAnsi="Times New Roman" w:cs="Times New Roman"/>
          <w:sz w:val="24"/>
          <w:szCs w:val="24"/>
        </w:rPr>
        <w:t xml:space="preserve">- zadanie inwestycyjne „Rozbudowa szkoły podstawowej w Rogóźnie” – realizacja zadania rozpoczęła się w 2011 r. Lata 2011 – 2012 dotyczyły wydatków związanych </w:t>
      </w:r>
      <w:r w:rsidRPr="00F56F8E">
        <w:rPr>
          <w:rFonts w:ascii="Times New Roman" w:hAnsi="Times New Roman" w:cs="Times New Roman"/>
          <w:sz w:val="24"/>
          <w:szCs w:val="24"/>
        </w:rPr>
        <w:br/>
        <w:t xml:space="preserve">z przygotowaniem dokumentacji projektowej i kosztorysowej. W latach tych poniesiono wydatki w wysokości 56.577,98 zł. Dalsze etapy prac przeprowadzone </w:t>
      </w:r>
      <w:r w:rsidRPr="00F56F8E">
        <w:rPr>
          <w:rFonts w:ascii="Times New Roman" w:hAnsi="Times New Roman" w:cs="Times New Roman"/>
          <w:sz w:val="24"/>
          <w:szCs w:val="24"/>
        </w:rPr>
        <w:lastRenderedPageBreak/>
        <w:t xml:space="preserve">będą w latach 2014 -2016. Łączne nakłady w tym okresie będą wynosiły </w:t>
      </w:r>
      <w:r w:rsidRPr="00F56F8E">
        <w:rPr>
          <w:rFonts w:ascii="Times New Roman" w:hAnsi="Times New Roman" w:cs="Times New Roman"/>
          <w:sz w:val="24"/>
          <w:szCs w:val="24"/>
        </w:rPr>
        <w:br/>
        <w:t>4.900.000,00 zł.</w:t>
      </w:r>
    </w:p>
    <w:p w:rsidR="00F56F8E" w:rsidRPr="00F56F8E" w:rsidRDefault="00222F5C" w:rsidP="00F56F8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zadanie inwestycyjne</w:t>
      </w:r>
      <w:r w:rsidR="00F56F8E" w:rsidRPr="00F56F8E">
        <w:rPr>
          <w:rFonts w:ascii="Times New Roman" w:hAnsi="Times New Roman" w:cs="Times New Roman"/>
          <w:sz w:val="24"/>
          <w:szCs w:val="24"/>
        </w:rPr>
        <w:t xml:space="preserve"> „Studium uwarunkowań i kierunków zagospodarowania przestrzennego Gminy Rogóźno” – realizacja zadania rozpoczęła się w 2012 r. </w:t>
      </w:r>
      <w:r w:rsidR="00F56F8E" w:rsidRPr="00F56F8E">
        <w:rPr>
          <w:rFonts w:ascii="Times New Roman" w:hAnsi="Times New Roman" w:cs="Times New Roman"/>
          <w:sz w:val="24"/>
          <w:szCs w:val="24"/>
        </w:rPr>
        <w:br/>
        <w:t xml:space="preserve">i została podzielona na dwa etapy. W 2012 roku poniesiono nakłady w kwocie 29.464,20 zł. W 2013 przyjęto do limitu wydatków kwotę 22.200,00 zł </w:t>
      </w:r>
      <w:r w:rsidR="00F56F8E" w:rsidRPr="00F56F8E">
        <w:rPr>
          <w:rFonts w:ascii="Times New Roman" w:hAnsi="Times New Roman" w:cs="Times New Roman"/>
          <w:sz w:val="24"/>
          <w:szCs w:val="24"/>
        </w:rPr>
        <w:br/>
        <w:t xml:space="preserve">z przeznaczeniem na końcową zapłatę za zrealizowane zadanie. </w:t>
      </w:r>
      <w:r>
        <w:rPr>
          <w:rFonts w:ascii="Times New Roman" w:hAnsi="Times New Roman" w:cs="Times New Roman"/>
          <w:sz w:val="24"/>
          <w:szCs w:val="24"/>
        </w:rPr>
        <w:t>Planuje się ponieść wydatki również w 2014 r.</w:t>
      </w:r>
    </w:p>
    <w:p w:rsidR="00F56F8E" w:rsidRPr="00F56F8E" w:rsidRDefault="00F56F8E" w:rsidP="00F56F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026D" w:rsidRDefault="001B026D"/>
    <w:sectPr w:rsidR="001B026D" w:rsidSect="001465AE">
      <w:headerReference w:type="default" r:id="rId8"/>
      <w:pgSz w:w="11907" w:h="16839" w:code="9"/>
      <w:pgMar w:top="1440" w:right="1440" w:bottom="1417" w:left="144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FA" w:rsidRDefault="00A428FA" w:rsidP="005D0EEB">
      <w:pPr>
        <w:spacing w:after="0" w:line="240" w:lineRule="auto"/>
      </w:pPr>
      <w:r>
        <w:separator/>
      </w:r>
    </w:p>
  </w:endnote>
  <w:endnote w:type="continuationSeparator" w:id="0">
    <w:p w:rsidR="00A428FA" w:rsidRDefault="00A428FA" w:rsidP="005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FA" w:rsidRDefault="00A428FA" w:rsidP="005D0EEB">
      <w:pPr>
        <w:spacing w:after="0" w:line="240" w:lineRule="auto"/>
      </w:pPr>
      <w:r>
        <w:separator/>
      </w:r>
    </w:p>
  </w:footnote>
  <w:footnote w:type="continuationSeparator" w:id="0">
    <w:p w:rsidR="00A428FA" w:rsidRDefault="00A428FA" w:rsidP="005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EB" w:rsidRDefault="005D0EEB">
    <w:pPr>
      <w:pStyle w:val="Nagwek"/>
    </w:pPr>
    <w:r>
      <w:ptab w:relativeTo="margin" w:alignment="center" w:leader="none"/>
    </w:r>
    <w:r>
      <w:ptab w:relativeTo="margin" w:alignment="right" w:leader="none"/>
    </w:r>
    <w:r>
      <w:t>załącznik nr 3</w:t>
    </w:r>
  </w:p>
  <w:p w:rsidR="005D0EEB" w:rsidRDefault="005D0EEB">
    <w:pPr>
      <w:pStyle w:val="Nagwek"/>
    </w:pPr>
    <w:r>
      <w:tab/>
    </w:r>
    <w:r>
      <w:tab/>
      <w:t>do uchwały Rady Gminy</w:t>
    </w:r>
  </w:p>
  <w:p w:rsidR="005D0EEB" w:rsidRDefault="005D0EEB">
    <w:pPr>
      <w:pStyle w:val="Nagwek"/>
    </w:pPr>
    <w:r>
      <w:tab/>
    </w:r>
    <w:r>
      <w:tab/>
      <w:t>Rogóźno nr XXIV/152/2013</w:t>
    </w:r>
  </w:p>
  <w:p w:rsidR="005D0EEB" w:rsidRDefault="005D0EEB">
    <w:pPr>
      <w:pStyle w:val="Nagwek"/>
    </w:pPr>
    <w:r>
      <w:tab/>
    </w:r>
    <w:r>
      <w:tab/>
      <w:t>z dnia 20 grudnia 2013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0000007"/>
    <w:multiLevelType w:val="single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7">
    <w:nsid w:val="00000008"/>
    <w:multiLevelType w:val="single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8">
    <w:nsid w:val="00000009"/>
    <w:multiLevelType w:val="single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9">
    <w:nsid w:val="0000000A"/>
    <w:multiLevelType w:val="singleLevel"/>
    <w:tmpl w:val="000000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1">
    <w:nsid w:val="0000000C"/>
    <w:multiLevelType w:val="singleLevel"/>
    <w:tmpl w:val="00000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2">
    <w:nsid w:val="0000000D"/>
    <w:multiLevelType w:val="singleLevel"/>
    <w:tmpl w:val="0000000D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3">
    <w:nsid w:val="0000000E"/>
    <w:multiLevelType w:val="singleLevel"/>
    <w:tmpl w:val="0000000E"/>
    <w:lvl w:ilvl="0">
      <w:start w:val="1"/>
      <w:numFmt w:val="decimal"/>
      <w:lvlText w:val="%1."/>
      <w:lvlJc w:val="left"/>
      <w:pPr>
        <w:ind w:left="714" w:hanging="357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4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5">
    <w:nsid w:val="00000010"/>
    <w:multiLevelType w:val="singleLevel"/>
    <w:tmpl w:val="000000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7">
    <w:nsid w:val="00000012"/>
    <w:multiLevelType w:val="singleLevel"/>
    <w:tmpl w:val="000000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8">
    <w:nsid w:val="00000013"/>
    <w:multiLevelType w:val="singleLevel"/>
    <w:tmpl w:val="000000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9">
    <w:nsid w:val="00000014"/>
    <w:multiLevelType w:val="singleLevel"/>
    <w:tmpl w:val="000000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1">
    <w:nsid w:val="00000016"/>
    <w:multiLevelType w:val="singleLevel"/>
    <w:tmpl w:val="000000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2">
    <w:nsid w:val="00000017"/>
    <w:multiLevelType w:val="singleLevel"/>
    <w:tmpl w:val="0000001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3">
    <w:nsid w:val="00000018"/>
    <w:multiLevelType w:val="singleLevel"/>
    <w:tmpl w:val="000000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4">
    <w:nsid w:val="00000019"/>
    <w:multiLevelType w:val="singleLevel"/>
    <w:tmpl w:val="00000019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5">
    <w:nsid w:val="0000001A"/>
    <w:multiLevelType w:val="singleLevel"/>
    <w:tmpl w:val="0000001A"/>
    <w:lvl w:ilvl="0">
      <w:start w:val="1"/>
      <w:numFmt w:val="bullet"/>
      <w:lvlText w:val=""/>
      <w:lvlJc w:val="left"/>
      <w:pPr>
        <w:ind w:left="142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6">
    <w:nsid w:val="0000001B"/>
    <w:multiLevelType w:val="singleLevel"/>
    <w:tmpl w:val="0000001B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7">
    <w:nsid w:val="0000001C"/>
    <w:multiLevelType w:val="singleLevel"/>
    <w:tmpl w:val="0000001C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8">
    <w:nsid w:val="0000001D"/>
    <w:multiLevelType w:val="singleLevel"/>
    <w:tmpl w:val="A4584106"/>
    <w:lvl w:ilvl="0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9">
    <w:nsid w:val="22CF0CAC"/>
    <w:multiLevelType w:val="hybridMultilevel"/>
    <w:tmpl w:val="C0983A5C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0">
    <w:nsid w:val="5160207D"/>
    <w:multiLevelType w:val="hybridMultilevel"/>
    <w:tmpl w:val="2CF61EC6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8"/>
    <w:lvlOverride w:ilvl="0">
      <w:lvl w:ilvl="0">
        <w:start w:val="5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1">
    <w:abstractNumId w:val="3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8E"/>
    <w:rsid w:val="000750C9"/>
    <w:rsid w:val="00134300"/>
    <w:rsid w:val="001465AE"/>
    <w:rsid w:val="001B026D"/>
    <w:rsid w:val="001F2C64"/>
    <w:rsid w:val="00222F5C"/>
    <w:rsid w:val="00234531"/>
    <w:rsid w:val="003B187E"/>
    <w:rsid w:val="004945B4"/>
    <w:rsid w:val="004B1547"/>
    <w:rsid w:val="005707F1"/>
    <w:rsid w:val="005D0EEB"/>
    <w:rsid w:val="00693374"/>
    <w:rsid w:val="0086363A"/>
    <w:rsid w:val="008825EB"/>
    <w:rsid w:val="0089268E"/>
    <w:rsid w:val="00A428FA"/>
    <w:rsid w:val="00BA0609"/>
    <w:rsid w:val="00C27FD4"/>
    <w:rsid w:val="00D310C9"/>
    <w:rsid w:val="00E91A28"/>
    <w:rsid w:val="00F02545"/>
    <w:rsid w:val="00F52D07"/>
    <w:rsid w:val="00F544D2"/>
    <w:rsid w:val="00F56F8E"/>
    <w:rsid w:val="00FD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F56F8E"/>
    <w:pPr>
      <w:autoSpaceDE w:val="0"/>
      <w:autoSpaceDN w:val="0"/>
      <w:adjustRightInd w:val="0"/>
      <w:spacing w:before="100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825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5B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EEB"/>
  </w:style>
  <w:style w:type="paragraph" w:styleId="Stopka">
    <w:name w:val="footer"/>
    <w:basedOn w:val="Normalny"/>
    <w:link w:val="StopkaZnak"/>
    <w:uiPriority w:val="99"/>
    <w:unhideWhenUsed/>
    <w:rsid w:val="005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E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F56F8E"/>
    <w:pPr>
      <w:autoSpaceDE w:val="0"/>
      <w:autoSpaceDN w:val="0"/>
      <w:adjustRightInd w:val="0"/>
      <w:spacing w:before="100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825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5B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EEB"/>
  </w:style>
  <w:style w:type="paragraph" w:styleId="Stopka">
    <w:name w:val="footer"/>
    <w:basedOn w:val="Normalny"/>
    <w:link w:val="StopkaZnak"/>
    <w:uiPriority w:val="99"/>
    <w:unhideWhenUsed/>
    <w:rsid w:val="005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2808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Dąbki</dc:creator>
  <cp:lastModifiedBy> </cp:lastModifiedBy>
  <cp:revision>19</cp:revision>
  <cp:lastPrinted>2013-12-17T12:23:00Z</cp:lastPrinted>
  <dcterms:created xsi:type="dcterms:W3CDTF">2013-12-17T06:50:00Z</dcterms:created>
  <dcterms:modified xsi:type="dcterms:W3CDTF">2013-12-19T09:54:00Z</dcterms:modified>
</cp:coreProperties>
</file>