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7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"/>
        <w:gridCol w:w="8480"/>
        <w:gridCol w:w="1198"/>
        <w:gridCol w:w="1134"/>
        <w:gridCol w:w="1276"/>
        <w:gridCol w:w="1174"/>
      </w:tblGrid>
      <w:tr w:rsidR="001A0328" w:rsidRPr="00D71EDF" w:rsidTr="001A0328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1A0328" w:rsidRPr="00D71EDF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1A0328" w:rsidRDefault="001A0328" w:rsidP="006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n+3</w:t>
            </w:r>
            <w:r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footnoteReference w:id="1"/>
            </w: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fizycznych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prawnych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podatki i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 w:themeFill="background1"/>
                <w:lang w:eastAsia="pl-PL"/>
              </w:rPr>
              <w:t>opłaty,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podatku od nieruchomości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subwencji ogólnej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i środków przeznaczonych na cele bieżące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 sprzedaży majątku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oraz środków przeznaczonych na inwestycje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poręczeń i gwarancji,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9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gwarancje i poręczenia 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odlegające wyłączeniu z limitu spłaty zobowiązań, o którym mowa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spłatę przejętych zobowiązań samodzielnego publicznego zakładu opieki zdrowotnej przekształconego na zasadach określonych w przepisach o działalności leczniczej, w wysokości w jakiej nie podlegają sfinansowaniu dotacją z budżetu państwa)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obsługę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tym: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określone w art. 243 ust. 1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odsetki i dyskonto podlegające wyłączeniu z limitu spłaty zobowiązań, o którym mowa w art. 243 ustawy, w terminie nie dłuższym niż 90 dni po zakończeniu programu, projektu lub zadania i otrzymaniu refundacji tych środków (bez odsetek i dyskonta od zobowiązań za wkład krajowy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podlegające wyłączeniu z limitu spłaty zobowiązań, o którym mowa w art. 243 ustawy, 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tytułu zobowiązań zaciągniętych na wkład własny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Przychody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Nadwyżka budżetowa z lat ubiegłych,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Wolne środki, o których mowa w art. 217 ust.2 pkt 6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Kredyty, pożyczki, emisja papierów wartościowych,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przychody niezwiązane z zaciągnięciem długu,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Rozchody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kredytów i pożyczek oraz wykup papierów wartościowych,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12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łączna 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limitu spłaty zobowiązań, o którym mowa w art. 243 ustawy, z tego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Pr="00D71EDF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3a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328" w:rsidRDefault="001A0328" w:rsidP="006915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5.1.1.3.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innych niż określona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6915CA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rozchody niezwiązane ze spłatą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długu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jednostkach zaliczanych do sektora finansów publicznych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Relacja zrównoważenia wydatków bieżących, o której mowa w art. 242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8.1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 a wydatkami bieżącymi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pomniejszonymi o wydatki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Wskaźnik spłaty zobowiązań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bez uwzględnienia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po uwzględnieniu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związku współtworzonego przez JST przypadających do spłaty w danym roku budżetowym, podlegająca doliczeniu zgodnie z art. 244 ustawy.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 uwzględnieniu zobowiązań związku współtworzonego przez JST oraz po uwzględnieniu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080CF0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dochodów bieżących powiększonych o dochody ze sprzedaży majątku oraz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pomniejsoznych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wydatki bieżące do dochodów budżetu ustalonych na dany rok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, obliczony w oparciu o plan 3 kwartału roku poprzedzającego pierwszy rok prognozy (wskaźnik ustalony w oparciu o średnią arytmetyczną z 3 poprzednich lat)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obliczony w oparciu o wykonanie roku poprzedzającego pierwszy rok prognozy (wskaźnik ustalony w oparciu o średnią arytmetyczną z 3 poprzednich lat)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obliczonego w oparciu o plan 3 kwartałów roku poprzedzającego rok budżetowy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obliczonego w oparciu o wykonanie roku poprzedzającego rok budżetowy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Przeznaczenie prognozowanej nadwyżki budżetowej, w tym na: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kredytów, pożyczek i wykup papierów wartościowych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Informacje uzupełniające o wybranych rodzajach wydatków budżetowych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wynagrodzenia i składki od nich naliczane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związane z funkcjonowaniem organów jednostki samorządu terytorialnego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objęte limitem art. 226 ust.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pkt 4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majątkowe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inwestycyjne kontynuowane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Nowe wydatki inwestycyjne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w formie dotacji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 na programy, projekty lub zadania finansowane z udziałem środków, o których mowa w art. 5 ust. 1 pkt 2 i 3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 na programy, projekty lub zadania finansowane z udziałem środków, o których mowa w art. 5 ust. 1 pkt 2 i 3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programy, projekty lub zadania finansowane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finansowane środkami określonymi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bieżące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finansowane środkami określonymi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na wkład krajowy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wkład krajowy w związku z zawartą po 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Przychody z tytułu kredytów, pożyczek, emisji papierów wartościowych powstające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12.8.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Przychody z tytułu kredytów, pożyczek, emisji papierów wartościowych powstające w związku z zawartą po </w:t>
            </w: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12.8.1.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w związku z już zawartą umową na realizację programu, projektu lub zadania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Kwoty dotyczące przejęcia i spłaty zobowiązań po samodzielnych publicznych zakładach opieki zdrowotnej oraz pokrycia ujemnego wyniku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samodzielnych zakładach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budżetowe z tytułu dotacji celowej z budżetu państwa, o której mowa w art. 196 ustawy z dnia 15 kwietnia 2011 r. o działalności leczniczej (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Dz.U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Nr 112, poz. 654,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zm.)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Wysokość zobowiązań podlegających umorzeniu, o którym mowa w art. 190 ustawy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przekształconego na zasadach określonych w przepisach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likwidowanego na zasadach określonych w przepisach o działalności leczniczej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zobowiązań samodzielnego publicznego zakładu opieki zdrowotnej przejętych do końca 2011 r. na podstawie przepisów o zakładach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pokrycie ujemnego wyniku finansowego samodzielnego publicznego zakładu opieki zdrowotnej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uzupełniające o długu i jego spłacie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oraz wykup papierów wartościowych, o których mowa w pkt. 5.1., wynikające wyłącznie z tytułu zobowiązań już zaciągniętych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długu, którego planowana spłata dokona się z wydatków budżetu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zmniejszające dług, w tym: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 wymagalnych z lat poprzednich, innych niż w pkt 14.3.3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związane z umowami zaliczanymi do tytułów dłużnych wliczanych w państwowy dług publiczny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wypłaty z tytułu wymagalnych poręczeń i gwarancji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Wynik operacji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niekasowych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wpływających na kwotę długu (m.in. umorzenia, różnice kursowe)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A032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dotyczące emitowanych obligacji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1A0328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z przedsięwzięcia gromadzone na rachunku bankowym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Default="001A0328" w:rsidP="001A0328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na zaspokojenie roszczeń obligatariuszy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A0328" w:rsidRPr="00D71EDF" w:rsidTr="001A032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z tytułu świadczenia emitenta należnego obligatariuszom, nieuwzględniane w limicie spłaty zobowiązań, o którym mowa w art. 243 ustawy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328" w:rsidRPr="00D71EDF" w:rsidRDefault="001A0328" w:rsidP="006915CA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146D" w:rsidRDefault="00DC146D"/>
    <w:sectPr w:rsidR="00DC146D" w:rsidSect="001A032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51" w:rsidRDefault="00132A51" w:rsidP="001A0328">
      <w:pPr>
        <w:spacing w:after="0" w:line="240" w:lineRule="auto"/>
      </w:pPr>
      <w:r>
        <w:separator/>
      </w:r>
    </w:p>
  </w:endnote>
  <w:endnote w:type="continuationSeparator" w:id="0">
    <w:p w:rsidR="00132A51" w:rsidRDefault="00132A51" w:rsidP="001A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51" w:rsidRDefault="00132A51" w:rsidP="001A0328">
      <w:pPr>
        <w:spacing w:after="0" w:line="240" w:lineRule="auto"/>
      </w:pPr>
      <w:r>
        <w:separator/>
      </w:r>
    </w:p>
  </w:footnote>
  <w:footnote w:type="continuationSeparator" w:id="0">
    <w:p w:rsidR="00132A51" w:rsidRDefault="00132A51" w:rsidP="001A0328">
      <w:pPr>
        <w:spacing w:after="0" w:line="240" w:lineRule="auto"/>
      </w:pPr>
      <w:r>
        <w:continuationSeparator/>
      </w:r>
    </w:p>
  </w:footnote>
  <w:footnote w:id="1">
    <w:p w:rsidR="001A0328" w:rsidRDefault="001A0328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227 ustawy z dnia 27 sierpnia 2009 r. o finansach publicznych, wieloletnia prognoza finansowa obejmuje okres roku budżetowego oraz co najmniej trzech kolejnych lat. W sytuacji dłuższego okresu prognozowania finansowego wzór WPF stosuje się także dla lat wykraczających poza minimalny (4 letni) okres prognozy, wynikający z ww. art. 227.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64" w:rsidRDefault="00CD2764">
    <w:pPr>
      <w:pStyle w:val="Nagwek"/>
    </w:pPr>
    <w:r>
      <w:t>Wieloletnia prognoza finansowa jednostki samorządu terytorialnego</w:t>
    </w:r>
    <w:r w:rsidR="002D5315">
      <w:tab/>
    </w:r>
    <w:r w:rsidR="002D5315">
      <w:tab/>
    </w:r>
    <w:r w:rsidR="002D5315">
      <w:tab/>
    </w:r>
    <w:r w:rsidR="002D5315">
      <w:tab/>
    </w:r>
    <w:r w:rsidR="002D5315">
      <w:tab/>
    </w:r>
    <w:r w:rsidR="002D5315">
      <w:tab/>
      <w:t>WPF</w:t>
    </w:r>
  </w:p>
  <w:p w:rsidR="00CD2764" w:rsidRDefault="00CD2764">
    <w:pPr>
      <w:pStyle w:val="Nagwek"/>
    </w:pPr>
  </w:p>
  <w:p w:rsidR="00CD2764" w:rsidRDefault="00CD27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8"/>
    <w:rsid w:val="00132A51"/>
    <w:rsid w:val="001A0328"/>
    <w:rsid w:val="002D5315"/>
    <w:rsid w:val="00CD2764"/>
    <w:rsid w:val="00DC146D"/>
    <w:rsid w:val="00E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3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3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3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764"/>
  </w:style>
  <w:style w:type="paragraph" w:styleId="Stopka">
    <w:name w:val="footer"/>
    <w:basedOn w:val="Normalny"/>
    <w:link w:val="Stopka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764"/>
  </w:style>
  <w:style w:type="paragraph" w:styleId="Tekstdymka">
    <w:name w:val="Balloon Text"/>
    <w:basedOn w:val="Normalny"/>
    <w:link w:val="TekstdymkaZnak"/>
    <w:uiPriority w:val="99"/>
    <w:semiHidden/>
    <w:unhideWhenUsed/>
    <w:rsid w:val="00CD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3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3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3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764"/>
  </w:style>
  <w:style w:type="paragraph" w:styleId="Stopka">
    <w:name w:val="footer"/>
    <w:basedOn w:val="Normalny"/>
    <w:link w:val="StopkaZnak"/>
    <w:uiPriority w:val="99"/>
    <w:unhideWhenUsed/>
    <w:rsid w:val="00CD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764"/>
  </w:style>
  <w:style w:type="paragraph" w:styleId="Tekstdymka">
    <w:name w:val="Balloon Text"/>
    <w:basedOn w:val="Normalny"/>
    <w:link w:val="TekstdymkaZnak"/>
    <w:uiPriority w:val="99"/>
    <w:semiHidden/>
    <w:unhideWhenUsed/>
    <w:rsid w:val="00CD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6DCE1-72CE-4C7E-83C4-8352B875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1626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2014-09-10T06:29:00Z</dcterms:created>
  <dcterms:modified xsi:type="dcterms:W3CDTF">2014-09-10T06:43:00Z</dcterms:modified>
</cp:coreProperties>
</file>